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II Plan Nacional contra la violencia hacia las mujeres 2015-2020</w:t>
      </w:r>
    </w:p>
    <w:p>
      <w:r>
        <w:rPr>
          <w:b/>
        </w:rPr>
        <w:t xml:space="preserve">Autor/es:</w:t>
      </w:r>
    </w:p>
    <w:p>
      <w:r>
        <w:t xml:space="preserve"> Ministerio de la Mujer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Otras publicaciones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/>
      </w:r>
    </w:p>
    <w:p/>
    <w:p/>
    <w:p>
      <w:r>
        <w:rPr>
          <w:rStyle w:val="rStyle"/>
        </w:rPr>
        <w:t xml:space="preserve">Primera Encuesta sobre Violencia Intrafamiliar basada en Género</w:t>
      </w:r>
    </w:p>
    <w:p>
      <w:r>
        <w:rPr>
          <w:b/>
        </w:rPr>
        <w:t xml:space="preserve">Autor/es:</w:t>
      </w:r>
    </w:p>
    <w:p>
      <w:r>
        <w:t xml:space="preserve"> Ministerio de la Mujer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/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2024-05-05T16:31:40+00:00</dcterms:created>
  <dcterms:modified xsi:type="dcterms:W3CDTF">2024-05-05T16:31:40+00:00</dcterms:modified>
  <dc:title/>
  <dc:description/>
  <dc:subject/>
  <cp:keywords/>
  <cp:category/>
</cp:coreProperties>
</file>