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p>
      <w:r>
        <w:rPr>
          <w:rStyle w:val="rStyle"/>
        </w:rPr>
        <w:t xml:space="preserve">Antiguas costumbres, prácticas nuevas - Intervenciones frente al criadazgo en el siglo XXI</w:t>
      </w:r>
    </w:p>
    <w:p>
      <w:r>
        <w:rPr>
          <w:b/>
        </w:rPr>
        <w:t xml:space="preserve">Autor/es:</w:t>
      </w:r>
    </w:p>
    <w:p>
      <w:r>
        <w:t xml:space="preserve"> Johanna Walder Marta Benítez Tina Alvarenga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A través de esta publicación podemos acceder a una reflexión crítica sobre la experiencia de trabajo de una organización que ha iniciado un difícil camino orientado a revertir - mediante respuestas creativas, solidarias y colectivas - la persistencia, hecha costumbre, de la muy arragada práctica del criadazgo y de la explotación del trabajo doméstico infantil y adolescente en el Paraguay. </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2024-05-19T01:59:35+00:00</dcterms:created>
  <dcterms:modified xsi:type="dcterms:W3CDTF">2024-05-19T01:59:35+00:00</dcterms:modified>
  <dc:title/>
  <dc:description/>
  <dc:subject/>
  <cp:keywords/>
  <cp:category/>
</cp:coreProperties>
</file>