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Investigación sobre la caracterización de la explotación sexual de niños, niñas y adolescentes en Encarnación</w:t>
      </w:r>
    </w:p>
    <w:p>
      <w:r>
        <w:rPr>
          <w:b/>
        </w:rPr>
        <w:t xml:space="preserve">Autor/es:</w:t>
      </w:r>
    </w:p>
    <w:p>
      <w:r>
        <w:t xml:space="preserve"> Celeste Houdin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Otras publicaciones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documento fue elaborado por Celeste Houdin en el marco de implementación del proyecto Pepo Jera "Erradicación progresiva de la explotación sexual y la trata con fines sexuales de niñas, niños y adolescentes en la ciudad de Encarnación", cofinanciado por la Unión Europea.</w:t>
      </w:r>
    </w:p>
    <w:p/>
    <w:p/>
    <w:p>
      <w:r>
        <w:rPr>
          <w:rStyle w:val="rStyle"/>
        </w:rPr>
        <w:t xml:space="preserve">Construyendo Ciudadanía - La atención intermedia frente a la violencia intrafamiliar</w:t>
      </w:r>
    </w:p>
    <w:p>
      <w:r>
        <w:rPr>
          <w:b/>
        </w:rPr>
        <w:t xml:space="preserve">Autor/es:</w:t>
      </w:r>
    </w:p>
    <w:p>
      <w:r>
        <w:t xml:space="preserve"> Celeste Houdin Nelly Meza Norma Benítez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Este material nos lleva a una fascinante experiencia de promoción de la cohesión social, no conocida antes de manra sistemática: la de la atención intermedia frente a la violencia intrafamiliar. Se conjugan las perspectivas analíticas de género, utilizada para la comprensión de la violencia doméstica e intrafamiliar, y de ciudadanía, como instrumentos para la exigibilidad de los deberes estatales, por parte de la sociedad.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2026-03-06T16:19:15+00:00</dcterms:created>
  <dcterms:modified xsi:type="dcterms:W3CDTF">2026-03-06T16:19:15+00:00</dcterms:modified>
  <dc:title/>
  <dc:description/>
  <dc:subject/>
  <cp:keywords/>
  <cp:category/>
</cp:coreProperties>
</file>