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Integración Regional Mercosur - Desde la perspectiva de organizaciones campesinas, de mujeres y sindicales del Paraguay</w:t>
      </w:r>
    </w:p>
    <w:p>
      <w:r>
        <w:rPr>
          <w:b/>
        </w:rPr>
        <w:t xml:space="preserve">Autor/es:</w:t>
      </w:r>
    </w:p>
    <w:p>
      <w:r>
        <w:t xml:space="preserve"> Dania Pilz Roberto Villalba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puesta en marcha del Mercado Común del Sur (MERCOSUR) estuvo orientada en sus inicios, como su nombre lo indica, a una cuestión de mercado (de compra y venta de bienes y servicios) entre los países signatarios (Argentina, Brasil, Paraguay y Uruguay). El presente documento recoge todo lo debatido y concluido para poner a disposición de cada una de las organizciones participantes. Queda agregar que no escapa a nuestro interés la posibilidad de que las organizaciones sociales de los países integrantes del MERCOSUR puedan crear espacios de participación e incidencia, donde el derecho de los/as ciudadanos/as sea defendido. </w:t>
      </w:r>
    </w:p>
    <w:p/>
    <w:p/>
    <w:p>
      <w:r>
        <w:rPr>
          <w:rStyle w:val="rStyle"/>
        </w:rPr>
        <w:t xml:space="preserve">ACADEI : Historia de una organización campesina contada por sus protagonistas</w:t>
      </w:r>
    </w:p>
    <w:p>
      <w:r>
        <w:rPr>
          <w:b/>
        </w:rPr>
        <w:t xml:space="preserve">Autor/es:</w:t>
      </w:r>
    </w:p>
    <w:p>
      <w:r>
        <w:t xml:space="preserve"> Dania Pilz Quintin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Esta iniciativa conjunta entre ACADEI, CDE y Helvetas Paraguay se inscribe dentro del programa Tekopora ha Tekojoja Rekavo, en el marco del cual, este texto quiere valorizar la experiencia colectiva e individual de los campesinos. Muchas veces la historia se olvida de esta multitud, no la considera una protagonista relevante. Posiblemente porque la historia individual y colectiva de los campesinos resiste el proceso de homogenización universal. El dar visibilidad a estas resistencias, al relacionarlas y hacerlas conocer al público genera singularidades de gran valor simbólico en los procesos de de-construcción de la homogenización universal.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2024-05-17T02:53:27+00:00</dcterms:created>
  <dcterms:modified xsi:type="dcterms:W3CDTF">2024-05-17T02:53:27+00:00</dcterms:modified>
  <dc:title/>
  <dc:description/>
  <dc:subject/>
  <cp:keywords/>
  <cp:category/>
</cp:coreProperties>
</file>