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Agricultura Familiar Campesina en Paraguay. Principales fuentes de financiamiento y análisis de su aplicación en los territorios.</w:t>
      </w:r>
    </w:p>
    <w:p>
      <w:r>
        <w:rPr>
          <w:b/>
        </w:rPr>
        <w:t xml:space="preserve">Autor/es:</w:t>
      </w:r>
    </w:p>
    <w:p>
      <w:r>
        <w:t xml:space="preserve"> Centro de Documentación y Estudios (CDE) Decidamos Elsy Vera Quintin Riquelme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2026-07-21T15:03:28+00:00</dcterms:created>
  <dcterms:modified xsi:type="dcterms:W3CDTF">2026-07-21T15:03:28+00:00</dcterms:modified>
  <dc:title/>
  <dc:description/>
  <dc:subject/>
  <cp:keywords/>
  <cp:category/>
</cp:coreProperties>
</file>