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Agricultura Familiar Campesina en Paraguay. Principales fuentes de financiamiento y análisis de su aplicación en los territorios.</w:t>
      </w:r>
    </w:p>
    <w:p>
      <w:r>
        <w:rPr>
          <w:b/>
        </w:rPr>
        <w:t xml:space="preserve">Autor/es:</w:t>
      </w:r>
    </w:p>
    <w:p>
      <w:r>
        <w:t xml:space="preserve"> Centro de Documentación y Estudios (CDE) Decidamos Elsy Vera Quintin Riquelme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Actualización de aspectos legales: vinculados a la agricultura familiar campesina (AFC) en Paraguay</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
      </w:r>
    </w:p>
    <w:p/>
    <w:p/>
    <w:p>
      <w:r>
        <w:rPr>
          <w:rStyle w:val="rStyle"/>
        </w:rPr>
        <w:t xml:space="preserve">Derecho a la alimentación y ordenamiento territorial</w:t>
      </w:r>
    </w:p>
    <w:p>
      <w:r>
        <w:rPr>
          <w:b/>
        </w:rPr>
        <w:t xml:space="preserve">Autor/es:</w:t>
      </w:r>
    </w:p>
    <w:p>
      <w:r>
        <w:t xml:space="preserve"> Centro de Documentación y Estudios (CDE) Decidamos Oxfam</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 necesario establecer políticas que protejan la agricultura familiar campesina existente, que produce los alimentos que todos los paraguayos y las paraguayas necesitamos para vivir, como parte de una estrategia para garantizar la seguridad y también la soberanía alimentara. </w:t>
      </w:r>
    </w:p>
    <w:p/>
    <w:p/>
    <w:p>
      <w:r>
        <w:rPr>
          <w:rStyle w:val="rStyle"/>
        </w:rPr>
        <w:t xml:space="preserve">Fiscalidad contributiva y distributiva</w:t>
      </w:r>
    </w:p>
    <w:p>
      <w:r>
        <w:rPr>
          <w:b/>
        </w:rPr>
        <w:t xml:space="preserve">Autor/es:</w:t>
      </w:r>
    </w:p>
    <w:p>
      <w:r>
        <w:t xml:space="preserve"> Centro de Documentación y Estudios (CDE) Decidamos Oxfam Unión Europea</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constituye la propuesta de la Campaña "Impuestos Justos Para Inversión Social" impulsada desde el 2011 por varias organizaciones, como síntesis de la propuesta que debería implementarse progresivamente, en un periodo de 10 a 12 años para lograr mejores condiciones de vida de los sectores vulnerables, empobrecidos y sin oportunidades, a partir de la reforma fiscal y tributaria. </w:t>
      </w:r>
    </w:p>
    <w:p/>
    <w:p/>
    <w:p>
      <w:r>
        <w:rPr>
          <w:rStyle w:val="rStyle"/>
        </w:rPr>
        <w:t xml:space="preserve">La agricultura familiar. Fuente de vida y de derechos</w:t>
      </w:r>
    </w:p>
    <w:p>
      <w:r>
        <w:rPr>
          <w:b/>
        </w:rPr>
        <w:t xml:space="preserve">Autor/es:</w:t>
      </w:r>
    </w:p>
    <w:p>
      <w:r>
        <w:t xml:space="preserve"> Centro de Documentación y Estudios (CDE) Decidamos Oxfam SEPA</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Qué es la agricultura familiar? La agricultura familiar en Paraguay es aquella en la cual el recurso básico de la mano de obra lo aporta el grupo familiar, siendo su producción básicamente de autoconsumo y parcialmente mercantil, completando los ingresos a partir de otras producciones de carácter artesanal o extra predial. Éste y otros conceptos asociados a la AFC se encuentran en forma amena y sencilla en el presente folleto. </w:t>
      </w:r>
    </w:p>
    <w:p/>
    <w:p/>
    <w:p>
      <w:r>
        <w:rPr>
          <w:rStyle w:val="rStyle"/>
        </w:rPr>
        <w:t xml:space="preserve">Impuestos justos para inversión social</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En el año 2004 se aprueba la Ley de reforma fiscal, que tenía como principal objetivo la formalización de la economía, la ampliación de la base tributaria del IVA, y la introducción de otros impuestos directos. Esto permitió algunos avances, como la  ampliación de la base de contribuyentes y el aumento de los ingresos fiscales pasando de un déficit fiscal en el año 2002 a sostenidos superávit en los siguientes años. Sin embargo, estos recursos aún son insuficientes para implementar políticas sociales que permitan superar los grandes problemas de inequidad del país. </w:t>
      </w:r>
    </w:p>
    <w:p/>
    <w:p/>
    <w:p>
      <w:r>
        <w:rPr>
          <w:rStyle w:val="rStyle"/>
        </w:rPr>
        <w:t xml:space="preserve">Por qué hacer la reforma tributaria</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sistema tributario de nuestro país es sumamente injusto, y por eso el Estado tiene menos recursos para favorecer el desarrollo social y a su vez una mejor calidad de vida de las personas. Por ello, este material significa una herramienta para capacitación y y debate ciudadano sobre el tema. También incluye la propuesta que se hace desde la Campaña sobre el sistema tributario y la inversión social. Al final del material se incluye un glosario de los diferentes términos utilizados en el contenido del mismo.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2024-05-17T05:29:28+00:00</dcterms:created>
  <dcterms:modified xsi:type="dcterms:W3CDTF">2024-05-17T05:29:28+00:00</dcterms:modified>
  <dc:title/>
  <dc:description/>
  <dc:subject/>
  <cp:keywords/>
  <cp:category/>
</cp:coreProperties>
</file>