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p>
      <w:r>
        <w:rPr>
          <w:rStyle w:val="rStyle"/>
        </w:rPr>
        <w:t xml:space="preserve">Sistema paraguayo de protección de los derechos humanos</w:t>
      </w:r>
    </w:p>
    <w:p>
      <w:r>
        <w:rPr>
          <w:b/>
        </w:rPr>
        <w:t xml:space="preserve">Autor/es:</w:t>
      </w:r>
    </w:p>
    <w:p>
      <w:r>
        <w:t xml:space="preserve"> Line Bareiro Luis Claudio Celma Maridí González Parini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Los Estados modernos reconocen derechos y establecen obligaciones para todas las personas, y construyen instituciones justamente para realizar esos derechos. En este material se busca presentar de manera clara y sistemática lo que el Estado paraguayo ha desarrollado para garantizar y defender los derechos humanos de todos sus habitantes.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2026-07-21T21:21:49+00:00</dcterms:created>
  <dcterms:modified xsi:type="dcterms:W3CDTF">2026-07-21T21:21:49+00:00</dcterms:modified>
  <dc:title/>
  <dc:description/>
  <dc:subject/>
  <cp:keywords/>
  <cp:category/>
</cp:coreProperties>
</file>