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p>
      <w:r>
        <w:rPr>
          <w:rStyle w:val="rStyle"/>
        </w:rPr>
        <w:t xml:space="preserve">Stronismo, golpe militar y apertura tutelada</w:t>
      </w:r>
    </w:p>
    <w:p>
      <w:r>
        <w:rPr>
          <w:b/>
        </w:rPr>
        <w:t xml:space="preserve">Autor/es:</w:t>
      </w:r>
    </w:p>
    <w:p>
      <w:r>
        <w:t xml:space="preserve"> Marcial Riquelme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Libro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El profesor Marcial Riquelme realiza esta investigación que es a la vez empírica, teórica, histórica y sociológica. Hace un ordenamiento coherente y sistemático de los hechos pertinentes al proceso de conformación histórica y la ulterior desestructuracon del regimen del General Alfredo Stroessner (1954/1989) y analiza la lógica interna de su funcionamiento. </w:t>
      </w:r>
    </w:p>
    <w:p/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2026-07-21T18:23:23+00:00</dcterms:created>
  <dcterms:modified xsi:type="dcterms:W3CDTF">2026-07-21T18:23:23+00:00</dcterms:modified>
  <dc:title/>
  <dc:description/>
  <dc:subject/>
  <cp:keywords/>
  <cp:category/>
</cp:coreProperties>
</file>