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Antiguas costumbres, prácticas nuevas - Intervenciones frente al criadazgo en el siglo XXI</w:t>
      </w:r>
    </w:p>
    <w:p>
      <w:r>
        <w:rPr>
          <w:b/>
        </w:rPr>
        <w:t xml:space="preserve">Autor/es:</w:t>
      </w:r>
    </w:p>
    <w:p>
      <w:r>
        <w:t xml:space="preserve"> Johanna Walder Marta Benítez Tina Alvarenga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 través de esta publicación podemos acceder a una reflexión crítica sobre la experiencia de trabajo de una organización que ha iniciado un difícil camino orientado a revertir - mediante respuestas creativas, solidarias y colectivas - la persistencia, hecha costumbre, de la muy arragada práctica del criadazgo y de la explotación del trabajo doméstico infantil y adolescente en el Paraguay.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2026-06-05T05:55:45+00:00</dcterms:created>
  <dcterms:modified xsi:type="dcterms:W3CDTF">2026-06-05T05:55:45+00:00</dcterms:modified>
  <dc:title/>
  <dc:description/>
  <dc:subject/>
  <cp:keywords/>
  <cp:category/>
</cp:coreProperties>
</file>