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Construyendo Ciudadanía - La atención intermedia frente a la violencia intrafamiliar</w:t>
      </w:r>
    </w:p>
    <w:p>
      <w:r>
        <w:rPr>
          <w:b/>
        </w:rPr>
        <w:t xml:space="preserve">Autor/es:</w:t>
      </w:r>
    </w:p>
    <w:p>
      <w:r>
        <w:t xml:space="preserve"> Celeste Houdin Nelly Meza Norma Benítez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nos lleva a una fascinante experiencia de promoción de la cohesión social, no conocida antes de manra sistemática: la de la atención intermedia frente a la violencia intrafamiliar. Se conjugan las perspectivas analíticas de género, utilizada para la comprensión de la violencia doméstica e intrafamiliar, y de ciudadanía, como instrumentos para la exigibilidad de los deberes estatales, por parte de la sociedad.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2026-03-06T16:14:05+00:00</dcterms:created>
  <dcterms:modified xsi:type="dcterms:W3CDTF">2026-03-06T16:14:05+00:00</dcterms:modified>
  <dc:title/>
  <dc:description/>
  <dc:subject/>
  <cp:keywords/>
  <cp:category/>
</cp:coreProperties>
</file>